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heme="minorEastAsia" w:hAnsiTheme="minorEastAsia" w:eastAsiaTheme="minorEastAsia"/>
          <w:b/>
          <w:sz w:val="32"/>
          <w:szCs w:val="32"/>
          <w:lang w:eastAsia="zh-CN"/>
        </w:rPr>
      </w:pPr>
      <w:r>
        <w:rPr>
          <w:rFonts w:hint="eastAsia" w:asciiTheme="minorEastAsia" w:hAnsiTheme="minorEastAsia" w:eastAsiaTheme="minorEastAsia"/>
          <w:b/>
          <w:sz w:val="32"/>
          <w:szCs w:val="32"/>
          <w:lang w:eastAsia="zh-CN"/>
        </w:rPr>
        <w:t>《公共关系》课程教学大纲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281"/>
        <w:gridCol w:w="344"/>
        <w:gridCol w:w="636"/>
        <w:gridCol w:w="1424"/>
        <w:gridCol w:w="1579"/>
        <w:gridCol w:w="1318"/>
        <w:gridCol w:w="237"/>
        <w:gridCol w:w="44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课程名称：</w:t>
            </w:r>
            <w:r>
              <w:rPr>
                <w:rFonts w:hint="eastAsia" w:asciiTheme="minorEastAsia" w:hAnsiTheme="minorEastAsia" w:eastAsiaTheme="minorEastAsia"/>
                <w:sz w:val="21"/>
                <w:szCs w:val="21"/>
                <w:lang w:eastAsia="zh-CN"/>
              </w:rPr>
              <w:t xml:space="preserve"> 公共关系</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课程类别（必修/选修）：</w:t>
            </w:r>
            <w:r>
              <w:rPr>
                <w:rFonts w:hint="eastAsia" w:asciiTheme="minorEastAsia" w:hAnsiTheme="minorEastAsia" w:eastAsiaTheme="minorEastAsia"/>
                <w:sz w:val="21"/>
                <w:szCs w:val="21"/>
                <w:lang w:eastAsia="zh-CN"/>
              </w:rPr>
              <w:t xml:space="preserve">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课程英文名称：</w:t>
            </w:r>
            <w:r>
              <w:rPr>
                <w:rFonts w:ascii="宋体" w:hAnsi="宋体" w:eastAsia="宋体"/>
                <w:b/>
                <w:sz w:val="21"/>
                <w:szCs w:val="21"/>
              </w:rPr>
              <w:t>P</w:t>
            </w:r>
            <w:r>
              <w:rPr>
                <w:rFonts w:hint="eastAsia" w:ascii="宋体" w:hAnsi="宋体" w:eastAsia="宋体"/>
                <w:b/>
                <w:sz w:val="21"/>
                <w:szCs w:val="21"/>
                <w:lang w:val="en-US" w:eastAsia="zh-CN"/>
              </w:rPr>
              <w:t>ublic</w:t>
            </w:r>
            <w:r>
              <w:rPr>
                <w:rFonts w:hint="eastAsia" w:ascii="宋体" w:hAnsi="宋体" w:eastAsia="宋体"/>
                <w:b/>
                <w:sz w:val="21"/>
                <w:szCs w:val="21"/>
              </w:rPr>
              <w:t xml:space="preserve">  </w:t>
            </w:r>
            <w:r>
              <w:rPr>
                <w:rFonts w:hint="eastAsia" w:ascii="宋体" w:hAnsi="宋体" w:eastAsia="宋体"/>
                <w:b/>
                <w:sz w:val="21"/>
                <w:szCs w:val="21"/>
                <w:lang w:val="en-US" w:eastAsia="zh-CN"/>
              </w:rPr>
              <w:t>Relations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color w:val="FF0000"/>
                <w:sz w:val="21"/>
                <w:szCs w:val="21"/>
                <w:lang w:eastAsia="zh-CN"/>
              </w:rPr>
            </w:pPr>
            <w:r>
              <w:rPr>
                <w:rFonts w:hint="eastAsia" w:asciiTheme="minorEastAsia" w:hAnsiTheme="minorEastAsia" w:eastAsiaTheme="minorEastAsia"/>
                <w:b/>
                <w:sz w:val="21"/>
                <w:szCs w:val="21"/>
              </w:rPr>
              <w:t>总学时/周学时/学分：</w:t>
            </w:r>
            <w:r>
              <w:rPr>
                <w:rFonts w:hint="eastAsia" w:asciiTheme="minorEastAsia" w:hAnsiTheme="minorEastAsia" w:eastAsiaTheme="minorEastAsia"/>
                <w:b/>
                <w:sz w:val="21"/>
                <w:szCs w:val="21"/>
                <w:lang w:val="en-US" w:eastAsia="zh-CN"/>
              </w:rPr>
              <w:t>36</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2</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2</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其中实验学时：</w:t>
            </w:r>
            <w:r>
              <w:rPr>
                <w:rFonts w:hint="eastAsia" w:asciiTheme="minorEastAsia" w:hAnsiTheme="minorEastAsia" w:eastAsiaTheme="minorEastAsia"/>
                <w:b/>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 xml:space="preserve">先修课程： </w:t>
            </w:r>
            <w:r>
              <w:rPr>
                <w:rFonts w:hint="eastAsia" w:asciiTheme="minorEastAsia" w:hAnsiTheme="minorEastAsia" w:eastAsiaTheme="minorEastAsia"/>
                <w:sz w:val="21"/>
                <w:szCs w:val="21"/>
                <w:lang w:eastAsia="zh-CN"/>
              </w:rPr>
              <w:t>管理学原理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授课时间：</w:t>
            </w:r>
            <w:r>
              <w:rPr>
                <w:rFonts w:hint="eastAsia" w:asciiTheme="minorEastAsia" w:hAnsiTheme="minorEastAsia" w:eastAsiaTheme="minorEastAsia"/>
                <w:sz w:val="21"/>
                <w:szCs w:val="21"/>
                <w:lang w:val="en-US" w:eastAsia="zh-CN"/>
              </w:rPr>
              <w:t>1-18周五（7.8节</w:t>
            </w:r>
            <w:bookmarkStart w:id="0" w:name="_GoBack"/>
            <w:bookmarkEnd w:id="0"/>
            <w:r>
              <w:rPr>
                <w:rFonts w:hint="eastAsia" w:asciiTheme="minorEastAsia" w:hAnsiTheme="minorEastAsia" w:eastAsiaTheme="minorEastAsia"/>
                <w:sz w:val="21"/>
                <w:szCs w:val="21"/>
                <w:lang w:val="en-US" w:eastAsia="zh-CN"/>
              </w:rPr>
              <w:t>）</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授课地点：</w:t>
            </w:r>
            <w:r>
              <w:rPr>
                <w:rFonts w:hint="eastAsia" w:asciiTheme="minorEastAsia" w:hAnsiTheme="minorEastAsia" w:eastAsiaTheme="minorEastAsia"/>
                <w:sz w:val="21"/>
                <w:szCs w:val="21"/>
                <w:lang w:val="en-US" w:eastAsia="zh-CN"/>
              </w:rPr>
              <w:t>莞</w:t>
            </w:r>
            <w:r>
              <w:rPr>
                <w:rFonts w:hint="eastAsia" w:asciiTheme="minorEastAsia" w:hAnsiTheme="minorEastAsia" w:eastAsiaTheme="minorEastAsia"/>
                <w:sz w:val="21"/>
                <w:szCs w:val="21"/>
                <w:lang w:eastAsia="zh-CN"/>
              </w:rPr>
              <w:t>城</w:t>
            </w:r>
            <w:r>
              <w:rPr>
                <w:rFonts w:hint="eastAsia" w:asciiTheme="minorEastAsia" w:hAnsiTheme="minorEastAsia" w:eastAsiaTheme="minorEastAsia"/>
                <w:sz w:val="21"/>
                <w:szCs w:val="21"/>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 xml:space="preserve">授课对象： </w:t>
            </w:r>
            <w:r>
              <w:rPr>
                <w:rFonts w:hint="eastAsia" w:asciiTheme="minorEastAsia" w:hAnsiTheme="minorEastAsia" w:eastAsiaTheme="minorEastAsia"/>
                <w:sz w:val="21"/>
                <w:szCs w:val="21"/>
                <w:lang w:eastAsia="zh-CN"/>
              </w:rPr>
              <w:t>201</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lang w:eastAsia="zh-CN"/>
              </w:rPr>
              <w:t>级人力资源1、2、</w:t>
            </w:r>
            <w:r>
              <w:rPr>
                <w:rFonts w:hint="eastAsia" w:asciiTheme="minorEastAsia" w:hAnsiTheme="minorEastAsia" w:eastAsiaTheme="minorEastAsia"/>
                <w:sz w:val="21"/>
                <w:szCs w:val="21"/>
                <w:lang w:val="en-US" w:eastAsia="zh-CN"/>
              </w:rPr>
              <w:t>3、4</w:t>
            </w:r>
            <w:r>
              <w:rPr>
                <w:rFonts w:hint="eastAsia" w:asciiTheme="minorEastAsia" w:hAnsiTheme="minorEastAsia" w:eastAsiaTheme="minorEastAsia"/>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开课院系：</w:t>
            </w:r>
            <w:r>
              <w:rPr>
                <w:rFonts w:hint="eastAsia" w:asciiTheme="minorEastAsia" w:hAnsiTheme="minorEastAsia" w:eastAsiaTheme="minorEastAsia"/>
                <w:sz w:val="21"/>
                <w:szCs w:val="21"/>
                <w:lang w:eastAsia="zh-CN"/>
              </w:rPr>
              <w:t xml:space="preserve"> 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任课教师姓名/职称：</w:t>
            </w:r>
            <w:r>
              <w:rPr>
                <w:rFonts w:hint="eastAsia" w:asciiTheme="minorEastAsia" w:hAnsiTheme="minorEastAsia" w:eastAsiaTheme="minorEastAsia"/>
                <w:sz w:val="21"/>
                <w:szCs w:val="21"/>
                <w:lang w:eastAsia="zh-CN"/>
              </w:rPr>
              <w:t xml:space="preserve"> 李伟/讲师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联系电话：</w:t>
            </w:r>
            <w:r>
              <w:rPr>
                <w:rFonts w:hint="eastAsia" w:asciiTheme="minorEastAsia" w:hAnsiTheme="minorEastAsia" w:eastAsiaTheme="minorEastAsia"/>
                <w:b/>
                <w:sz w:val="21"/>
                <w:szCs w:val="21"/>
                <w:lang w:eastAsia="zh-CN"/>
              </w:rPr>
              <w:t>15814217717</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Email:</w:t>
            </w:r>
            <w:r>
              <w:rPr>
                <w:rFonts w:hint="eastAsia" w:asciiTheme="minorEastAsia" w:hAnsiTheme="minorEastAsia" w:eastAsiaTheme="minorEastAsia"/>
                <w:b/>
                <w:sz w:val="21"/>
                <w:szCs w:val="21"/>
                <w:lang w:eastAsia="zh-CN"/>
              </w:rPr>
              <w:t xml:space="preserve"> 29253563@qq.com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答疑时间、地点与方式：</w:t>
            </w:r>
            <w:r>
              <w:rPr>
                <w:rFonts w:hint="eastAsia" w:asciiTheme="minorEastAsia" w:hAnsiTheme="minorEastAsia" w:eastAsiaTheme="minorEastAsia"/>
                <w:sz w:val="21"/>
                <w:szCs w:val="21"/>
                <w:lang w:eastAsia="zh-CN"/>
              </w:rPr>
              <w:t>平时可在教室课间口头答疑或其他时间通过微信或电话答疑，1</w:t>
            </w:r>
            <w:r>
              <w:rPr>
                <w:rFonts w:hint="eastAsia" w:asciiTheme="minorEastAsia" w:hAnsiTheme="minorEastAsia" w:eastAsiaTheme="minorEastAsia"/>
                <w:sz w:val="21"/>
                <w:szCs w:val="21"/>
                <w:lang w:val="en-US" w:eastAsia="zh-CN"/>
              </w:rPr>
              <w:t>8</w:t>
            </w:r>
            <w:r>
              <w:rPr>
                <w:rFonts w:hint="eastAsia" w:asciiTheme="minorEastAsia" w:hAnsiTheme="minorEastAsia" w:eastAsiaTheme="minorEastAsia"/>
                <w:sz w:val="21"/>
                <w:szCs w:val="21"/>
                <w:lang w:eastAsia="zh-CN"/>
              </w:rPr>
              <w:t>周在</w:t>
            </w:r>
            <w:r>
              <w:rPr>
                <w:rFonts w:hint="eastAsia" w:asciiTheme="minorEastAsia" w:hAnsiTheme="minorEastAsia" w:eastAsiaTheme="minorEastAsia"/>
                <w:sz w:val="21"/>
                <w:szCs w:val="21"/>
                <w:lang w:val="en-US" w:eastAsia="zh-CN"/>
              </w:rPr>
              <w:t>6#1</w:t>
            </w:r>
            <w:r>
              <w:rPr>
                <w:rFonts w:hint="eastAsia" w:asciiTheme="minorEastAsia" w:hAnsiTheme="minorEastAsia" w:eastAsiaTheme="minorEastAsia"/>
                <w:sz w:val="21"/>
                <w:szCs w:val="21"/>
                <w:lang w:eastAsia="zh-CN"/>
              </w:rPr>
              <w:t>安排集中口头答疑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bCs/>
                <w:sz w:val="21"/>
                <w:szCs w:val="21"/>
                <w:lang w:eastAsia="zh-CN"/>
              </w:rPr>
              <w:t>课程考核方式：</w:t>
            </w:r>
            <w:r>
              <w:rPr>
                <w:rFonts w:hint="eastAsia" w:asciiTheme="minorEastAsia" w:hAnsiTheme="minorEastAsia" w:eastAsiaTheme="minorEastAsia"/>
                <w:sz w:val="21"/>
                <w:szCs w:val="21"/>
                <w:lang w:eastAsia="zh-CN"/>
              </w:rPr>
              <w:t>开卷</w:t>
            </w:r>
            <w:r>
              <w:rPr>
                <w:rFonts w:hint="eastAsia" w:asciiTheme="minorEastAsia" w:hAnsiTheme="minorEastAsia" w:eastAsiaTheme="minorEastAsia"/>
                <w:b/>
                <w:sz w:val="21"/>
                <w:szCs w:val="21"/>
                <w:lang w:eastAsia="zh-CN"/>
              </w:rPr>
              <w:t>（   ）</w:t>
            </w:r>
            <w:r>
              <w:rPr>
                <w:rFonts w:hint="eastAsia" w:asciiTheme="minorEastAsia" w:hAnsiTheme="minorEastAsia" w:eastAsiaTheme="minorEastAsia"/>
                <w:sz w:val="21"/>
                <w:szCs w:val="21"/>
                <w:lang w:eastAsia="zh-CN"/>
              </w:rPr>
              <w:t xml:space="preserve">     闭卷</w:t>
            </w:r>
            <w:r>
              <w:rPr>
                <w:rFonts w:hint="eastAsia" w:asciiTheme="minorEastAsia" w:hAnsiTheme="minorEastAsia" w:eastAsiaTheme="minorEastAsia"/>
                <w:b/>
                <w:sz w:val="21"/>
                <w:szCs w:val="21"/>
                <w:lang w:eastAsia="zh-CN"/>
              </w:rPr>
              <w:t xml:space="preserve">（  ）   </w:t>
            </w:r>
            <w:r>
              <w:rPr>
                <w:rFonts w:hint="eastAsia" w:asciiTheme="minorEastAsia" w:hAnsiTheme="minorEastAsia" w:eastAsiaTheme="minorEastAsia"/>
                <w:sz w:val="21"/>
                <w:szCs w:val="21"/>
                <w:lang w:eastAsia="zh-CN"/>
              </w:rPr>
              <w:t>课程论文</w:t>
            </w:r>
            <w:r>
              <w:rPr>
                <w:rFonts w:hint="eastAsia" w:asciiTheme="minorEastAsia" w:hAnsiTheme="minorEastAsia" w:eastAsiaTheme="minorEastAsia"/>
                <w:b/>
                <w:sz w:val="21"/>
                <w:szCs w:val="21"/>
                <w:lang w:eastAsia="zh-CN"/>
              </w:rPr>
              <w:t xml:space="preserve">（  ）   </w:t>
            </w:r>
            <w:r>
              <w:rPr>
                <w:rFonts w:hint="eastAsia" w:asciiTheme="minorEastAsia" w:hAnsiTheme="minorEastAsia" w:eastAsiaTheme="minorEastAsia"/>
                <w:sz w:val="21"/>
                <w:szCs w:val="21"/>
                <w:lang w:eastAsia="zh-CN"/>
              </w:rPr>
              <w:t>其它</w:t>
            </w:r>
            <w:r>
              <w:rPr>
                <w:rFonts w:hint="eastAsia" w:asciiTheme="minorEastAsia" w:hAnsiTheme="minorEastAsia" w:eastAsiaTheme="minorEastAsia"/>
                <w:b/>
                <w:sz w:val="21"/>
                <w:szCs w:val="21"/>
                <w:lang w:eastAsia="zh-CN"/>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
                <w:bCs/>
                <w:sz w:val="21"/>
                <w:szCs w:val="21"/>
                <w:lang w:eastAsia="zh-CN"/>
              </w:rPr>
              <w:t>使用教材：</w:t>
            </w:r>
            <w:r>
              <w:rPr>
                <w:rFonts w:hint="eastAsia" w:asciiTheme="minorEastAsia" w:hAnsiTheme="minorEastAsia" w:eastAsiaTheme="minorEastAsia"/>
                <w:b/>
                <w:bCs/>
                <w:sz w:val="21"/>
                <w:szCs w:val="21"/>
                <w:lang w:val="en-US" w:eastAsia="zh-CN"/>
              </w:rPr>
              <w:t>无</w:t>
            </w:r>
          </w:p>
          <w:p>
            <w:pPr>
              <w:tabs>
                <w:tab w:val="left" w:pos="1440"/>
              </w:tabs>
              <w:spacing w:after="0" w:line="0" w:lineRule="atLeast"/>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
                <w:bCs/>
                <w:sz w:val="21"/>
                <w:szCs w:val="21"/>
                <w:lang w:eastAsia="zh-CN"/>
              </w:rPr>
              <w:t>教学参考资料：</w:t>
            </w:r>
          </w:p>
          <w:p>
            <w:pPr>
              <w:tabs>
                <w:tab w:val="left" w:pos="1440"/>
              </w:tabs>
              <w:spacing w:after="0" w:line="0" w:lineRule="atLeast"/>
              <w:ind w:firstLine="105" w:firstLineChars="50"/>
              <w:outlineLvl w:val="0"/>
              <w:rPr>
                <w:rFonts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1</w:t>
            </w:r>
            <w:r>
              <w:rPr>
                <w:rFonts w:hint="eastAsia" w:asciiTheme="minorEastAsia" w:hAnsiTheme="minorEastAsia" w:eastAsiaTheme="minorEastAsia"/>
                <w:bCs/>
                <w:sz w:val="21"/>
                <w:szCs w:val="21"/>
                <w:lang w:eastAsia="zh-CN"/>
              </w:rPr>
              <w:t>）居延安</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《公共关系学》</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第</w:t>
            </w:r>
            <w:r>
              <w:rPr>
                <w:rFonts w:hint="eastAsia" w:asciiTheme="minorEastAsia" w:hAnsiTheme="minorEastAsia" w:eastAsiaTheme="minorEastAsia"/>
                <w:bCs/>
                <w:sz w:val="21"/>
                <w:szCs w:val="21"/>
                <w:lang w:val="en-US" w:eastAsia="zh-CN"/>
              </w:rPr>
              <w:t>4</w:t>
            </w:r>
            <w:r>
              <w:rPr>
                <w:rFonts w:hint="eastAsia" w:asciiTheme="minorEastAsia" w:hAnsiTheme="minorEastAsia" w:eastAsiaTheme="minorEastAsia"/>
                <w:bCs/>
                <w:sz w:val="21"/>
                <w:szCs w:val="21"/>
                <w:lang w:eastAsia="zh-CN"/>
              </w:rPr>
              <w:t>版</w:t>
            </w:r>
            <w:r>
              <w:rPr>
                <w:rFonts w:asciiTheme="minorEastAsia" w:hAnsiTheme="minorEastAsia" w:eastAsiaTheme="minorEastAsia"/>
                <w:bCs/>
                <w:sz w:val="21"/>
                <w:szCs w:val="21"/>
                <w:lang w:eastAsia="zh-CN"/>
              </w:rPr>
              <w:t xml:space="preserve">). </w:t>
            </w:r>
            <w:r>
              <w:rPr>
                <w:rFonts w:hint="eastAsia" w:asciiTheme="minorEastAsia" w:hAnsiTheme="minorEastAsia" w:eastAsiaTheme="minorEastAsia"/>
                <w:bCs/>
                <w:sz w:val="21"/>
                <w:szCs w:val="21"/>
                <w:lang w:eastAsia="zh-CN"/>
              </w:rPr>
              <w:t>复旦大学出版社，</w:t>
            </w:r>
            <w:r>
              <w:rPr>
                <w:rFonts w:asciiTheme="minorEastAsia" w:hAnsiTheme="minorEastAsia" w:eastAsiaTheme="minorEastAsia"/>
                <w:bCs/>
                <w:sz w:val="21"/>
                <w:szCs w:val="21"/>
                <w:lang w:eastAsia="zh-CN"/>
              </w:rPr>
              <w:t>20</w:t>
            </w:r>
            <w:r>
              <w:rPr>
                <w:rFonts w:hint="eastAsia" w:asciiTheme="minorEastAsia" w:hAnsiTheme="minorEastAsia" w:eastAsiaTheme="minorEastAsia"/>
                <w:bCs/>
                <w:sz w:val="21"/>
                <w:szCs w:val="21"/>
                <w:lang w:val="en-US" w:eastAsia="zh-CN"/>
              </w:rPr>
              <w:t>10</w:t>
            </w:r>
            <w:r>
              <w:rPr>
                <w:rFonts w:hint="eastAsia" w:asciiTheme="minorEastAsia" w:hAnsiTheme="minorEastAsia" w:eastAsiaTheme="minorEastAsia"/>
                <w:bCs/>
                <w:sz w:val="21"/>
                <w:szCs w:val="21"/>
                <w:lang w:eastAsia="zh-CN"/>
              </w:rPr>
              <w:t>年</w:t>
            </w:r>
          </w:p>
          <w:p>
            <w:pPr>
              <w:tabs>
                <w:tab w:val="left" w:pos="1440"/>
              </w:tabs>
              <w:spacing w:after="0" w:line="0" w:lineRule="atLeast"/>
              <w:ind w:firstLine="105" w:firstLineChars="50"/>
              <w:outlineLvl w:val="0"/>
              <w:rPr>
                <w:rFonts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2</w:t>
            </w:r>
            <w:r>
              <w:rPr>
                <w:rFonts w:hint="eastAsia"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val="en-US" w:eastAsia="zh-CN"/>
              </w:rPr>
              <w:t>蒋春堂.</w:t>
            </w:r>
            <w:r>
              <w:rPr>
                <w:rFonts w:hint="eastAsia" w:asciiTheme="minorEastAsia" w:hAnsiTheme="minorEastAsia" w:eastAsiaTheme="minorEastAsia"/>
                <w:bCs/>
                <w:sz w:val="21"/>
                <w:szCs w:val="21"/>
                <w:lang w:eastAsia="zh-CN"/>
              </w:rPr>
              <w:t>《公共关系学教程》</w:t>
            </w:r>
            <w:r>
              <w:rPr>
                <w:rFonts w:hint="eastAsia" w:asciiTheme="minorEastAsia" w:hAnsiTheme="minorEastAsia" w:eastAsiaTheme="minorEastAsia"/>
                <w:bCs/>
                <w:sz w:val="21"/>
                <w:szCs w:val="21"/>
                <w:lang w:val="en-US" w:eastAsia="zh-CN"/>
              </w:rPr>
              <w:t>.人民教育</w:t>
            </w:r>
            <w:r>
              <w:rPr>
                <w:rFonts w:hint="eastAsia" w:asciiTheme="minorEastAsia" w:hAnsiTheme="minorEastAsia" w:eastAsiaTheme="minorEastAsia"/>
                <w:bCs/>
                <w:sz w:val="21"/>
                <w:szCs w:val="21"/>
                <w:lang w:eastAsia="zh-CN"/>
              </w:rPr>
              <w:t>出版社，</w:t>
            </w:r>
            <w:r>
              <w:rPr>
                <w:rFonts w:asciiTheme="minorEastAsia" w:hAnsiTheme="minorEastAsia" w:eastAsiaTheme="minorEastAsia"/>
                <w:bCs/>
                <w:sz w:val="21"/>
                <w:szCs w:val="21"/>
                <w:lang w:eastAsia="zh-CN"/>
              </w:rPr>
              <w:t>20</w:t>
            </w:r>
            <w:r>
              <w:rPr>
                <w:rFonts w:hint="eastAsia" w:asciiTheme="minorEastAsia" w:hAnsiTheme="minorEastAsia" w:eastAsiaTheme="minorEastAsia"/>
                <w:bCs/>
                <w:sz w:val="21"/>
                <w:szCs w:val="21"/>
                <w:lang w:val="en-US" w:eastAsia="zh-CN"/>
              </w:rPr>
              <w:t>06</w:t>
            </w:r>
            <w:r>
              <w:rPr>
                <w:rFonts w:hint="eastAsia" w:asciiTheme="minorEastAsia" w:hAnsiTheme="minorEastAsia" w:eastAsiaTheme="minorEastAsia"/>
                <w:bCs/>
                <w:sz w:val="21"/>
                <w:szCs w:val="21"/>
                <w:lang w:eastAsia="zh-CN"/>
              </w:rPr>
              <w:t>年</w:t>
            </w:r>
          </w:p>
          <w:p>
            <w:pPr>
              <w:tabs>
                <w:tab w:val="left" w:pos="1440"/>
              </w:tabs>
              <w:spacing w:after="0" w:line="0" w:lineRule="atLeast"/>
              <w:ind w:firstLine="105" w:firstLineChars="50"/>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3</w:t>
            </w:r>
            <w:r>
              <w:rPr>
                <w:rFonts w:hint="eastAsia" w:asciiTheme="minorEastAsia" w:hAnsiTheme="minorEastAsia" w:eastAsiaTheme="minorEastAsia"/>
                <w:bCs/>
                <w:sz w:val="21"/>
                <w:szCs w:val="21"/>
                <w:lang w:eastAsia="zh-CN"/>
              </w:rPr>
              <w:t>）熊源伟</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《公共关系学》，安徽人民出版社，</w:t>
            </w:r>
            <w:r>
              <w:rPr>
                <w:rFonts w:hint="eastAsia" w:asciiTheme="minorEastAsia" w:hAnsiTheme="minorEastAsia" w:eastAsiaTheme="minorEastAsia"/>
                <w:bCs/>
                <w:sz w:val="21"/>
                <w:szCs w:val="21"/>
                <w:lang w:val="en-US" w:eastAsia="zh-CN"/>
              </w:rPr>
              <w:t>2003</w:t>
            </w:r>
            <w:r>
              <w:rPr>
                <w:rFonts w:hint="eastAsia" w:asciiTheme="minorEastAsia" w:hAnsiTheme="minorEastAsia" w:eastAsiaTheme="minorEastAsia"/>
                <w:bCs/>
                <w:sz w:val="21"/>
                <w:szCs w:val="21"/>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课程简介：</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是一门综合性应用科学，由经营管理科学、信息传播学、人际关系学构成其理论基础，它的思想原理又吸收了现代社会学、心理学、经济学、市场营销学、行为科学、广告学等学科的最新成就。学科以建立组织与公众之间良好的沟通关系，在社会上树立组织的良好形象为宗旨。通过本课程的学习，使学生能够能够全面了解公共关系学的学科发展史，掌握公共关系的基本概念，理解公共关系的基本原理，培养和强化学生的公关意识。</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jc w:val="center"/>
        </w:trPr>
        <w:tc>
          <w:tcPr>
            <w:tcW w:w="6318" w:type="dxa"/>
            <w:gridSpan w:val="6"/>
          </w:tcPr>
          <w:p>
            <w:pPr>
              <w:tabs>
                <w:tab w:val="left" w:pos="1440"/>
              </w:tabs>
              <w:spacing w:after="0" w:line="0" w:lineRule="atLeast"/>
              <w:ind w:firstLine="422" w:firstLineChars="200"/>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课程教学目标</w:t>
            </w:r>
          </w:p>
          <w:p>
            <w:pPr>
              <w:tabs>
                <w:tab w:val="left" w:pos="1440"/>
              </w:tabs>
              <w:spacing w:after="0" w:line="0" w:lineRule="atLeast"/>
              <w:ind w:firstLine="420" w:firstLineChars="200"/>
              <w:outlineLvl w:val="0"/>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1.</w:t>
            </w:r>
            <w:r>
              <w:rPr>
                <w:rFonts w:hint="eastAsia" w:asciiTheme="minorEastAsia" w:hAnsiTheme="minorEastAsia" w:eastAsiaTheme="minorEastAsia"/>
                <w:sz w:val="21"/>
                <w:szCs w:val="21"/>
                <w:lang w:eastAsia="zh-CN"/>
              </w:rPr>
              <w:t>知识与技能目标：培养与形成对公共关系、公共调查、公共策划的理解、分析和应用能力；培养采用公共关系学的基本原理和方法思考具体案例和解决公共问题的能力。</w:t>
            </w:r>
            <w:r>
              <w:rPr>
                <w:rFonts w:asciiTheme="minorEastAsia" w:hAnsiTheme="minorEastAsia" w:eastAsiaTheme="minorEastAsia"/>
                <w:sz w:val="21"/>
                <w:szCs w:val="21"/>
                <w:lang w:eastAsia="zh-CN"/>
              </w:rPr>
              <w:t xml:space="preserve"> </w:t>
            </w:r>
          </w:p>
          <w:p>
            <w:pPr>
              <w:tabs>
                <w:tab w:val="left" w:pos="1440"/>
              </w:tabs>
              <w:spacing w:after="0" w:line="0" w:lineRule="atLeast"/>
              <w:ind w:firstLine="420" w:firstLineChars="200"/>
              <w:outlineLvl w:val="0"/>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2.</w:t>
            </w:r>
            <w:r>
              <w:rPr>
                <w:rFonts w:hint="eastAsia" w:asciiTheme="minorEastAsia" w:hAnsiTheme="minorEastAsia" w:eastAsiaTheme="minorEastAsia"/>
                <w:sz w:val="21"/>
                <w:szCs w:val="21"/>
                <w:lang w:eastAsia="zh-CN"/>
              </w:rPr>
              <w:t>过程与方法目标：通过对公共关系原理的讲解，结合案例分析和播放与课程相关的音像资料，使学生在学习过程中能够把公共关系理论运用到实践中，从而完成教学目标。</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r>
              <w:rPr>
                <w:rFonts w:asciiTheme="minorEastAsia" w:hAnsiTheme="minorEastAsia" w:eastAsiaTheme="minorEastAsia"/>
                <w:sz w:val="21"/>
                <w:szCs w:val="21"/>
                <w:lang w:eastAsia="zh-CN"/>
              </w:rPr>
              <w:t>3.</w:t>
            </w:r>
            <w:r>
              <w:rPr>
                <w:rFonts w:hint="eastAsia" w:asciiTheme="minorEastAsia" w:hAnsiTheme="minorEastAsia" w:eastAsiaTheme="minorEastAsia"/>
                <w:sz w:val="21"/>
                <w:szCs w:val="21"/>
                <w:lang w:eastAsia="zh-CN"/>
              </w:rPr>
              <w:t>情感、态度与价值观发展目标：通过本课程的学习，培养学生养成良好的行为习惯、做好自我管理，培养学生独立的思考能力、严密的逻辑推理能力和深刻敏锐的洞察能力，为未来的学习、工作和生活奠定良好的基础。</w:t>
            </w:r>
          </w:p>
          <w:p>
            <w:pPr>
              <w:spacing w:after="0" w:line="0" w:lineRule="atLeast"/>
              <w:ind w:firstLine="422" w:firstLineChars="200"/>
              <w:rPr>
                <w:rFonts w:asciiTheme="minorEastAsia" w:hAnsiTheme="minorEastAsia" w:eastAsiaTheme="minorEastAsia"/>
                <w:b/>
                <w:sz w:val="21"/>
                <w:szCs w:val="21"/>
                <w:lang w:eastAsia="zh-CN"/>
              </w:rPr>
            </w:pPr>
          </w:p>
        </w:tc>
        <w:tc>
          <w:tcPr>
            <w:tcW w:w="3083" w:type="dxa"/>
            <w:gridSpan w:val="4"/>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本课程</w:t>
            </w:r>
            <w:r>
              <w:rPr>
                <w:rFonts w:asciiTheme="minorEastAsia" w:hAnsiTheme="minorEastAsia" w:eastAsiaTheme="minorEastAsia"/>
                <w:b/>
                <w:sz w:val="21"/>
                <w:szCs w:val="21"/>
                <w:lang w:eastAsia="zh-CN"/>
              </w:rPr>
              <w:t>与学生核心能力培养之间的关联</w:t>
            </w:r>
            <w:r>
              <w:rPr>
                <w:rFonts w:hint="eastAsia" w:asciiTheme="minorEastAsia" w:hAnsiTheme="minorEastAsia" w:eastAsiaTheme="minorEastAsia"/>
                <w:b/>
                <w:sz w:val="21"/>
                <w:szCs w:val="21"/>
                <w:lang w:eastAsia="zh-CN"/>
              </w:rPr>
              <w:t>(授课对象为理工科专业学生的课程填写此栏</w:t>
            </w:r>
            <w:r>
              <w:rPr>
                <w:rFonts w:asciiTheme="minorEastAsia" w:hAnsiTheme="minorEastAsia" w:eastAsiaTheme="minorEastAsia"/>
                <w:b/>
                <w:sz w:val="21"/>
                <w:szCs w:val="21"/>
                <w:lang w:eastAsia="zh-CN"/>
              </w:rPr>
              <w:t>）：</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1.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2.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3.</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4.</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5.</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6.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7</w:t>
            </w:r>
            <w:r>
              <w:rPr>
                <w:rFonts w:hint="eastAsia" w:asciiTheme="minorEastAsia" w:hAnsiTheme="minorEastAsia" w:eastAsiaTheme="minorEastAsia"/>
                <w:b/>
                <w:sz w:val="21"/>
                <w:szCs w:val="21"/>
                <w:lang w:eastAsia="zh-CN"/>
              </w:rPr>
              <w:t>．</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8</w:t>
            </w:r>
            <w:r>
              <w:rPr>
                <w:rFonts w:hint="eastAsia" w:asciiTheme="minorEastAsia" w:hAnsiTheme="minorEastAsia" w:eastAsiaTheme="minorEastAsia"/>
                <w:b/>
                <w:sz w:val="21"/>
                <w:szCs w:val="21"/>
                <w:lang w:eastAsia="zh-CN"/>
              </w:rPr>
              <w:t>．</w:t>
            </w:r>
            <w:r>
              <w:rPr>
                <w:rFonts w:asciiTheme="minorEastAsia" w:hAnsiTheme="minorEastAsia" w:eastAsia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周次</w:t>
            </w:r>
          </w:p>
        </w:tc>
        <w:tc>
          <w:tcPr>
            <w:tcW w:w="1625"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教学主题</w:t>
            </w:r>
          </w:p>
        </w:tc>
        <w:tc>
          <w:tcPr>
            <w:tcW w:w="636"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教学时长</w:t>
            </w:r>
          </w:p>
        </w:tc>
        <w:tc>
          <w:tcPr>
            <w:tcW w:w="4321" w:type="dxa"/>
            <w:gridSpan w:val="3"/>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教学的重点与难点</w:t>
            </w:r>
          </w:p>
        </w:tc>
        <w:tc>
          <w:tcPr>
            <w:tcW w:w="677"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教学方式</w:t>
            </w:r>
          </w:p>
        </w:tc>
        <w:tc>
          <w:tcPr>
            <w:tcW w:w="1088"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w:t>
            </w:r>
          </w:p>
        </w:tc>
        <w:tc>
          <w:tcPr>
            <w:tcW w:w="1625"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课程引导</w:t>
            </w:r>
          </w:p>
        </w:tc>
        <w:tc>
          <w:tcPr>
            <w:tcW w:w="636" w:type="dxa"/>
            <w:vAlign w:val="center"/>
          </w:tcPr>
          <w:p>
            <w:pPr>
              <w:spacing w:line="288" w:lineRule="auto"/>
              <w:rPr>
                <w:rFonts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2</w:t>
            </w:r>
          </w:p>
        </w:tc>
        <w:tc>
          <w:tcPr>
            <w:tcW w:w="4321" w:type="dxa"/>
            <w:gridSpan w:val="3"/>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教学重点：公共关系的含义、特征、构成要素</w:t>
            </w:r>
          </w:p>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教学难点：公共关系的高手需要具备的条件；</w:t>
            </w:r>
          </w:p>
        </w:tc>
        <w:tc>
          <w:tcPr>
            <w:tcW w:w="677" w:type="dxa"/>
            <w:gridSpan w:val="2"/>
            <w:vAlign w:val="center"/>
          </w:tcPr>
          <w:p>
            <w:pPr>
              <w:spacing w:after="0"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p>
            <w:pPr>
              <w:spacing w:after="0" w:line="288" w:lineRule="auto"/>
              <w:rPr>
                <w:rFonts w:asciiTheme="minorEastAsia" w:hAnsiTheme="minorEastAsia" w:eastAsiaTheme="minorEastAsia"/>
                <w:color w:val="FF0000"/>
                <w:sz w:val="21"/>
                <w:szCs w:val="21"/>
                <w:lang w:eastAsia="zh-CN"/>
              </w:rPr>
            </w:pPr>
          </w:p>
        </w:tc>
        <w:tc>
          <w:tcPr>
            <w:tcW w:w="1088" w:type="dxa"/>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2-4</w:t>
            </w:r>
          </w:p>
        </w:tc>
        <w:tc>
          <w:tcPr>
            <w:tcW w:w="1625" w:type="dxa"/>
            <w:gridSpan w:val="2"/>
            <w:vAlign w:val="center"/>
          </w:tcPr>
          <w:p>
            <w:pPr>
              <w:spacing w:after="0"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社会组织的公共关系</w:t>
            </w:r>
          </w:p>
        </w:tc>
        <w:tc>
          <w:tcPr>
            <w:tcW w:w="636" w:type="dxa"/>
            <w:vAlign w:val="center"/>
          </w:tcPr>
          <w:p>
            <w:pPr>
              <w:spacing w:line="288" w:lineRule="auto"/>
              <w:rPr>
                <w:rFonts w:ascii="宋体" w:hAnsi="宋体" w:cs="宋体" w:eastAsiaTheme="minorEastAsia"/>
                <w:color w:val="000000"/>
                <w:sz w:val="21"/>
                <w:szCs w:val="21"/>
                <w:lang w:eastAsia="zh-CN"/>
              </w:rPr>
            </w:pPr>
            <w:r>
              <w:rPr>
                <w:rFonts w:hint="eastAsia" w:eastAsiaTheme="minorEastAsia"/>
                <w:color w:val="000000"/>
                <w:sz w:val="21"/>
                <w:szCs w:val="21"/>
                <w:lang w:eastAsia="zh-CN"/>
              </w:rPr>
              <w:t>6</w:t>
            </w:r>
          </w:p>
        </w:tc>
        <w:tc>
          <w:tcPr>
            <w:tcW w:w="4321" w:type="dxa"/>
            <w:gridSpan w:val="3"/>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教学重点：企业和政府的各种公共关系，</w:t>
            </w:r>
          </w:p>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教学难点：企业的公共关系</w:t>
            </w:r>
          </w:p>
        </w:tc>
        <w:tc>
          <w:tcPr>
            <w:tcW w:w="677"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5-7</w:t>
            </w:r>
          </w:p>
        </w:tc>
        <w:tc>
          <w:tcPr>
            <w:tcW w:w="1625" w:type="dxa"/>
            <w:gridSpan w:val="2"/>
          </w:tcPr>
          <w:p>
            <w:pPr>
              <w:spacing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公共关系的调查与研究</w:t>
            </w:r>
          </w:p>
        </w:tc>
        <w:tc>
          <w:tcPr>
            <w:tcW w:w="636" w:type="dxa"/>
            <w:vAlign w:val="center"/>
          </w:tcPr>
          <w:p>
            <w:pPr>
              <w:spacing w:line="288"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321" w:type="dxa"/>
            <w:gridSpan w:val="3"/>
          </w:tcPr>
          <w:p>
            <w:pPr>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教学重点：公共关系调查的概念、特点、原则</w:t>
            </w:r>
          </w:p>
          <w:p>
            <w:pPr>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教学难点：公共关系调查的基本程序与方法</w:t>
            </w:r>
          </w:p>
        </w:tc>
        <w:tc>
          <w:tcPr>
            <w:tcW w:w="677"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vAlign w:val="center"/>
          </w:tcPr>
          <w:p>
            <w:pPr>
              <w:spacing w:after="0" w:line="0" w:lineRule="atLeast"/>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手机新品的公共关系的调查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bottom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8</w:t>
            </w:r>
            <w:r>
              <w:rPr>
                <w:rFonts w:hint="eastAsia" w:asciiTheme="minorEastAsia" w:hAnsiTheme="minorEastAsia" w:eastAsiaTheme="minorEastAsia"/>
                <w:sz w:val="21"/>
                <w:szCs w:val="21"/>
                <w:lang w:val="en-US" w:eastAsia="zh-CN"/>
              </w:rPr>
              <w:t>-10</w:t>
            </w:r>
          </w:p>
        </w:tc>
        <w:tc>
          <w:tcPr>
            <w:tcW w:w="1625" w:type="dxa"/>
            <w:gridSpan w:val="2"/>
            <w:tcBorders>
              <w:bottom w:val="single" w:color="auto" w:sz="4" w:space="0"/>
            </w:tcBorders>
          </w:tcPr>
          <w:p>
            <w:pPr>
              <w:adjustRightInd w:val="0"/>
              <w:snapToGrid w:val="0"/>
              <w:spacing w:line="288" w:lineRule="auto"/>
              <w:rPr>
                <w:rFonts w:eastAsiaTheme="minorEastAsia"/>
                <w:sz w:val="21"/>
                <w:szCs w:val="21"/>
                <w:lang w:eastAsia="zh-CN"/>
              </w:rPr>
            </w:pPr>
          </w:p>
          <w:p>
            <w:pPr>
              <w:adjustRightInd w:val="0"/>
              <w:snapToGrid w:val="0"/>
              <w:spacing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公共关系策划与创意</w:t>
            </w:r>
          </w:p>
        </w:tc>
        <w:tc>
          <w:tcPr>
            <w:tcW w:w="636" w:type="dxa"/>
            <w:tcBorders>
              <w:bottom w:val="single" w:color="auto" w:sz="4" w:space="0"/>
            </w:tcBorders>
            <w:vAlign w:val="center"/>
          </w:tcPr>
          <w:p>
            <w:pPr>
              <w:adjustRightInd w:val="0"/>
              <w:snapToGrid w:val="0"/>
              <w:spacing w:line="288" w:lineRule="auto"/>
              <w:rPr>
                <w:rFonts w:ascii="宋体" w:hAnsi="宋体" w:cs="宋体" w:eastAsiaTheme="minorEastAsia"/>
                <w:sz w:val="21"/>
                <w:szCs w:val="21"/>
                <w:lang w:eastAsia="zh-CN"/>
              </w:rPr>
            </w:pPr>
            <w:r>
              <w:rPr>
                <w:rFonts w:hint="eastAsia" w:eastAsiaTheme="minorEastAsia"/>
                <w:sz w:val="21"/>
                <w:szCs w:val="21"/>
                <w:lang w:val="en-US" w:eastAsia="zh-CN"/>
              </w:rPr>
              <w:t>6</w:t>
            </w:r>
          </w:p>
        </w:tc>
        <w:tc>
          <w:tcPr>
            <w:tcW w:w="4321" w:type="dxa"/>
            <w:gridSpan w:val="3"/>
            <w:tcBorders>
              <w:bottom w:val="single" w:color="auto" w:sz="4" w:space="0"/>
            </w:tcBorders>
          </w:tcPr>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教学重点：公共关系策划的含义与原则、公共关系策划的基本程序、公共关系策划的技巧与创意，</w:t>
            </w:r>
          </w:p>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教学难点：公共关系策划的技巧与创意</w:t>
            </w:r>
          </w:p>
        </w:tc>
        <w:tc>
          <w:tcPr>
            <w:tcW w:w="677" w:type="dxa"/>
            <w:gridSpan w:val="2"/>
            <w:tcBorders>
              <w:bottom w:val="single" w:color="auto" w:sz="4" w:space="0"/>
            </w:tcBorders>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tcBorders>
              <w:bottom w:val="single" w:color="auto" w:sz="4" w:space="0"/>
            </w:tcBorders>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bottom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11</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12</w:t>
            </w:r>
          </w:p>
        </w:tc>
        <w:tc>
          <w:tcPr>
            <w:tcW w:w="1625" w:type="dxa"/>
            <w:gridSpan w:val="2"/>
            <w:tcBorders>
              <w:bottom w:val="single" w:color="auto" w:sz="4" w:space="0"/>
            </w:tcBorders>
          </w:tcPr>
          <w:p>
            <w:pPr>
              <w:adjustRightInd w:val="0"/>
              <w:snapToGrid w:val="0"/>
              <w:spacing w:line="288" w:lineRule="auto"/>
              <w:ind w:left="-125" w:leftChars="-52"/>
              <w:rPr>
                <w:rFonts w:asciiTheme="minorEastAsia" w:hAnsiTheme="minorEastAsia" w:eastAsiaTheme="minorEastAsia"/>
                <w:sz w:val="21"/>
                <w:szCs w:val="21"/>
              </w:rPr>
            </w:pPr>
          </w:p>
          <w:p>
            <w:pPr>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公共关系策划方案的实施与评估</w:t>
            </w:r>
          </w:p>
        </w:tc>
        <w:tc>
          <w:tcPr>
            <w:tcW w:w="636" w:type="dxa"/>
            <w:tcBorders>
              <w:bottom w:val="single" w:color="auto" w:sz="4" w:space="0"/>
            </w:tcBorders>
            <w:vAlign w:val="center"/>
          </w:tcPr>
          <w:p>
            <w:pPr>
              <w:adjustRightInd w:val="0"/>
              <w:snapToGrid w:val="0"/>
              <w:spacing w:line="288"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321" w:type="dxa"/>
            <w:gridSpan w:val="3"/>
            <w:tcBorders>
              <w:bottom w:val="single" w:color="auto" w:sz="4" w:space="0"/>
            </w:tcBorders>
          </w:tcPr>
          <w:p>
            <w:pPr>
              <w:adjustRightInd w:val="0"/>
              <w:snapToGrid w:val="0"/>
              <w:spacing w:line="288" w:lineRule="auto"/>
              <w:jc w:val="lef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w:t>
            </w:r>
            <w:r>
              <w:rPr>
                <w:rFonts w:asciiTheme="minorEastAsia" w:hAnsiTheme="minorEastAsia" w:eastAsiaTheme="minorEastAsia"/>
                <w:sz w:val="21"/>
                <w:szCs w:val="21"/>
                <w:lang w:eastAsia="zh-CN"/>
              </w:rPr>
              <w:t>重点：</w:t>
            </w:r>
            <w:r>
              <w:rPr>
                <w:rFonts w:hint="eastAsia" w:asciiTheme="minorEastAsia" w:hAnsiTheme="minorEastAsia" w:eastAsiaTheme="minorEastAsia"/>
                <w:sz w:val="21"/>
                <w:szCs w:val="21"/>
                <w:lang w:eastAsia="zh-CN"/>
              </w:rPr>
              <w:t>公共关系策划方案实施的原则与方法，公共关系策划方案的评估的程序、标准、内容</w:t>
            </w:r>
          </w:p>
          <w:p>
            <w:pPr>
              <w:adjustRightInd w:val="0"/>
              <w:snapToGrid w:val="0"/>
              <w:spacing w:line="288" w:lineRule="auto"/>
              <w:jc w:val="lef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w:t>
            </w:r>
            <w:r>
              <w:rPr>
                <w:rFonts w:asciiTheme="minorEastAsia" w:hAnsiTheme="minorEastAsia" w:eastAsiaTheme="minorEastAsia"/>
                <w:sz w:val="21"/>
                <w:szCs w:val="21"/>
                <w:lang w:eastAsia="zh-CN"/>
              </w:rPr>
              <w:t>难点：</w:t>
            </w:r>
            <w:r>
              <w:rPr>
                <w:rFonts w:hint="eastAsia" w:asciiTheme="minorEastAsia" w:hAnsiTheme="minorEastAsia" w:eastAsiaTheme="minorEastAsia"/>
                <w:sz w:val="21"/>
                <w:szCs w:val="21"/>
                <w:lang w:eastAsia="zh-CN"/>
              </w:rPr>
              <w:t>公共关系策划方案评估的标准、内容</w:t>
            </w:r>
          </w:p>
        </w:tc>
        <w:tc>
          <w:tcPr>
            <w:tcW w:w="677" w:type="dxa"/>
            <w:gridSpan w:val="2"/>
            <w:tcBorders>
              <w:bottom w:val="single" w:color="auto" w:sz="4" w:space="0"/>
            </w:tcBorders>
            <w:vAlign w:val="center"/>
          </w:tcPr>
          <w:p>
            <w:pPr>
              <w:spacing w:after="0"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tcBorders>
              <w:bottom w:val="single" w:color="auto" w:sz="4" w:space="0"/>
            </w:tcBorders>
            <w:vAlign w:val="center"/>
          </w:tcPr>
          <w:p>
            <w:pPr>
              <w:spacing w:after="0" w:line="0" w:lineRule="atLeast"/>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转基因食品的策划方案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1</w:t>
            </w:r>
            <w:r>
              <w:rPr>
                <w:rFonts w:hint="eastAsia" w:asciiTheme="minorEastAsia" w:hAnsiTheme="minorEastAsia" w:eastAsiaTheme="minorEastAsia"/>
                <w:sz w:val="21"/>
                <w:szCs w:val="21"/>
                <w:lang w:val="en-US" w:eastAsia="zh-CN"/>
              </w:rPr>
              <w:t>8</w:t>
            </w:r>
          </w:p>
        </w:tc>
        <w:tc>
          <w:tcPr>
            <w:tcW w:w="16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复习</w:t>
            </w:r>
          </w:p>
        </w:tc>
        <w:tc>
          <w:tcPr>
            <w:tcW w:w="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宋体" w:hAnsi="宋体" w:eastAsia="宋体" w:cs="宋体"/>
                <w:color w:val="000000"/>
                <w:sz w:val="21"/>
                <w:szCs w:val="21"/>
                <w:lang w:eastAsia="zh-CN"/>
              </w:rPr>
            </w:pPr>
            <w:r>
              <w:rPr>
                <w:rFonts w:hint="eastAsia" w:ascii="宋体" w:hAnsi="宋体" w:eastAsia="宋体" w:cs="宋体"/>
                <w:color w:val="000000"/>
                <w:sz w:val="21"/>
                <w:szCs w:val="21"/>
                <w:lang w:eastAsia="zh-CN"/>
              </w:rPr>
              <w:t>2</w:t>
            </w:r>
          </w:p>
        </w:tc>
        <w:tc>
          <w:tcPr>
            <w:tcW w:w="432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以公共关系的传播为主线，串讲该门课程的主要内容</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课堂讲授</w:t>
            </w:r>
          </w:p>
        </w:tc>
        <w:tc>
          <w:tcPr>
            <w:tcW w:w="108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79" w:type="dxa"/>
            <w:gridSpan w:val="3"/>
            <w:tcBorders>
              <w:top w:val="single" w:color="auto" w:sz="4" w:space="0"/>
            </w:tcBorders>
            <w:vAlign w:val="center"/>
          </w:tcPr>
          <w:p>
            <w:pPr>
              <w:spacing w:after="0" w:line="288" w:lineRule="auto"/>
              <w:jc w:val="right"/>
              <w:rPr>
                <w:rFonts w:asciiTheme="minorEastAsia" w:hAnsiTheme="minorEastAsia" w:eastAsiaTheme="minorEastAsia"/>
                <w:sz w:val="21"/>
                <w:szCs w:val="21"/>
              </w:rPr>
            </w:pPr>
            <w:r>
              <w:rPr>
                <w:rFonts w:hint="eastAsia" w:asciiTheme="minorEastAsia" w:hAnsiTheme="minorEastAsia" w:eastAsiaTheme="minorEastAsia"/>
                <w:b/>
                <w:sz w:val="21"/>
                <w:szCs w:val="21"/>
              </w:rPr>
              <w:t>合计：</w:t>
            </w:r>
          </w:p>
        </w:tc>
        <w:tc>
          <w:tcPr>
            <w:tcW w:w="636" w:type="dxa"/>
            <w:tcBorders>
              <w:top w:val="single" w:color="auto" w:sz="4" w:space="0"/>
            </w:tcBorders>
            <w:vAlign w:val="center"/>
          </w:tcPr>
          <w:p>
            <w:pPr>
              <w:spacing w:after="0" w:line="288" w:lineRule="auto"/>
              <w:rPr>
                <w:rFonts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26</w:t>
            </w:r>
          </w:p>
        </w:tc>
        <w:tc>
          <w:tcPr>
            <w:tcW w:w="4321" w:type="dxa"/>
            <w:gridSpan w:val="3"/>
            <w:tcBorders>
              <w:top w:val="single" w:color="auto" w:sz="4" w:space="0"/>
            </w:tcBorders>
            <w:vAlign w:val="center"/>
          </w:tcPr>
          <w:p>
            <w:pPr>
              <w:spacing w:after="0" w:line="288" w:lineRule="auto"/>
              <w:rPr>
                <w:rFonts w:asciiTheme="minorEastAsia" w:hAnsiTheme="minorEastAsia" w:eastAsiaTheme="minorEastAsia"/>
                <w:sz w:val="21"/>
                <w:szCs w:val="21"/>
              </w:rPr>
            </w:pPr>
          </w:p>
        </w:tc>
        <w:tc>
          <w:tcPr>
            <w:tcW w:w="677" w:type="dxa"/>
            <w:gridSpan w:val="2"/>
            <w:tcBorders>
              <w:top w:val="single" w:color="auto" w:sz="4" w:space="0"/>
            </w:tcBorders>
            <w:vAlign w:val="center"/>
          </w:tcPr>
          <w:p>
            <w:pPr>
              <w:spacing w:after="0" w:line="288" w:lineRule="auto"/>
              <w:rPr>
                <w:rFonts w:asciiTheme="minorEastAsia" w:hAnsiTheme="minorEastAsia" w:eastAsiaTheme="minorEastAsia"/>
                <w:sz w:val="21"/>
                <w:szCs w:val="21"/>
              </w:rPr>
            </w:pPr>
          </w:p>
        </w:tc>
        <w:tc>
          <w:tcPr>
            <w:tcW w:w="1088" w:type="dxa"/>
            <w:tcBorders>
              <w:top w:val="single" w:color="auto" w:sz="4" w:space="0"/>
            </w:tcBorders>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sz w:val="21"/>
                <w:szCs w:val="21"/>
                <w:lang w:eastAsia="zh-CN"/>
              </w:rPr>
            </w:pPr>
            <w:r>
              <w:rPr>
                <w:rFonts w:hint="eastAsia" w:asciiTheme="minorEastAsia" w:hAnsiTheme="minorEastAsia" w:eastAsiaTheme="minorEastAsia"/>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周次</w:t>
            </w:r>
          </w:p>
        </w:tc>
        <w:tc>
          <w:tcPr>
            <w:tcW w:w="1625"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实验项目名称</w:t>
            </w:r>
          </w:p>
        </w:tc>
        <w:tc>
          <w:tcPr>
            <w:tcW w:w="636"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学时</w:t>
            </w:r>
          </w:p>
        </w:tc>
        <w:tc>
          <w:tcPr>
            <w:tcW w:w="3003"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重点与难点</w:t>
            </w:r>
          </w:p>
        </w:tc>
        <w:tc>
          <w:tcPr>
            <w:tcW w:w="1318" w:type="dxa"/>
            <w:tcMar>
              <w:left w:w="28" w:type="dxa"/>
              <w:right w:w="28" w:type="dxa"/>
            </w:tcMar>
            <w:vAlign w:val="center"/>
          </w:tcPr>
          <w:p>
            <w:pPr>
              <w:spacing w:after="0" w:line="0" w:lineRule="atLeast"/>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项目类型（验证/综合/设计）</w:t>
            </w:r>
          </w:p>
        </w:tc>
        <w:tc>
          <w:tcPr>
            <w:tcW w:w="1765" w:type="dxa"/>
            <w:gridSpan w:val="3"/>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w:t>
            </w:r>
          </w:p>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2" w:hRule="atLeast"/>
          <w:jc w:val="center"/>
        </w:trPr>
        <w:tc>
          <w:tcPr>
            <w:tcW w:w="1054" w:type="dxa"/>
            <w:vAlign w:val="center"/>
          </w:tcPr>
          <w:p>
            <w:pPr>
              <w:spacing w:after="0" w:line="0" w:lineRule="atLeast"/>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13-17</w:t>
            </w:r>
          </w:p>
          <w:p>
            <w:pPr>
              <w:spacing w:after="0" w:line="0" w:lineRule="atLeast"/>
              <w:rPr>
                <w:rFonts w:asciiTheme="minorEastAsia" w:hAnsiTheme="minorEastAsia" w:eastAsiaTheme="minorEastAsia"/>
                <w:sz w:val="21"/>
                <w:szCs w:val="21"/>
                <w:lang w:eastAsia="zh-CN"/>
              </w:rPr>
            </w:pPr>
          </w:p>
        </w:tc>
        <w:tc>
          <w:tcPr>
            <w:tcW w:w="1625" w:type="dxa"/>
            <w:gridSpan w:val="2"/>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公共关系传播实验</w:t>
            </w:r>
          </w:p>
        </w:tc>
        <w:tc>
          <w:tcPr>
            <w:tcW w:w="636" w:type="dxa"/>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10</w:t>
            </w:r>
          </w:p>
        </w:tc>
        <w:tc>
          <w:tcPr>
            <w:tcW w:w="3003" w:type="dxa"/>
            <w:gridSpan w:val="2"/>
            <w:vAlign w:val="center"/>
          </w:tcPr>
          <w:p>
            <w:pPr>
              <w:adjustRightInd w:val="0"/>
              <w:snapToGrid w:val="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教学重点：大众传播媒介的性质、常用传播媒介的优点、缺点、选择原则；</w:t>
            </w:r>
          </w:p>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教学难点：网络传播的技巧</w:t>
            </w:r>
          </w:p>
        </w:tc>
        <w:tc>
          <w:tcPr>
            <w:tcW w:w="1318" w:type="dxa"/>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综合</w:t>
            </w:r>
          </w:p>
        </w:tc>
        <w:tc>
          <w:tcPr>
            <w:tcW w:w="1765" w:type="dxa"/>
            <w:gridSpan w:val="3"/>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课堂讲授+小组讨论+实验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79" w:type="dxa"/>
            <w:gridSpan w:val="3"/>
            <w:vAlign w:val="center"/>
          </w:tcPr>
          <w:p>
            <w:pPr>
              <w:spacing w:after="0" w:line="0" w:lineRule="atLeas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合计：</w:t>
            </w:r>
          </w:p>
        </w:tc>
        <w:tc>
          <w:tcPr>
            <w:tcW w:w="636" w:type="dxa"/>
            <w:vAlign w:val="center"/>
          </w:tcPr>
          <w:p>
            <w:pPr>
              <w:spacing w:after="0" w:line="0" w:lineRule="atLeast"/>
              <w:rPr>
                <w:rFonts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10</w:t>
            </w:r>
          </w:p>
        </w:tc>
        <w:tc>
          <w:tcPr>
            <w:tcW w:w="3003" w:type="dxa"/>
            <w:gridSpan w:val="2"/>
            <w:vAlign w:val="center"/>
          </w:tcPr>
          <w:p>
            <w:pPr>
              <w:spacing w:after="0" w:line="0" w:lineRule="atLeast"/>
              <w:rPr>
                <w:rFonts w:asciiTheme="minorEastAsia" w:hAnsiTheme="minorEastAsia" w:eastAsiaTheme="minorEastAsia"/>
                <w:sz w:val="21"/>
                <w:szCs w:val="21"/>
              </w:rPr>
            </w:pPr>
          </w:p>
        </w:tc>
        <w:tc>
          <w:tcPr>
            <w:tcW w:w="1318" w:type="dxa"/>
            <w:vAlign w:val="center"/>
          </w:tcPr>
          <w:p>
            <w:pPr>
              <w:spacing w:after="0" w:line="0" w:lineRule="atLeast"/>
              <w:rPr>
                <w:rFonts w:asciiTheme="minorEastAsia" w:hAnsiTheme="minorEastAsia" w:eastAsiaTheme="minorEastAsia"/>
                <w:sz w:val="21"/>
                <w:szCs w:val="21"/>
              </w:rPr>
            </w:pPr>
          </w:p>
        </w:tc>
        <w:tc>
          <w:tcPr>
            <w:tcW w:w="1765" w:type="dxa"/>
            <w:gridSpan w:val="3"/>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b/>
                <w:szCs w:val="21"/>
                <w:lang w:eastAsia="zh-CN"/>
              </w:rPr>
            </w:pPr>
            <w:r>
              <w:rPr>
                <w:rFonts w:hint="eastAsia" w:asciiTheme="minorEastAsia" w:hAnsiTheme="minorEastAsia" w:eastAsiaTheme="minorEastAsia"/>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2335" w:type="dxa"/>
            <w:gridSpan w:val="2"/>
            <w:vAlign w:val="center"/>
          </w:tcPr>
          <w:p>
            <w:pPr>
              <w:snapToGrid w:val="0"/>
              <w:spacing w:after="0" w:line="0" w:lineRule="atLeast"/>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考核</w:t>
            </w:r>
            <w:r>
              <w:rPr>
                <w:rFonts w:hint="eastAsia" w:asciiTheme="minorEastAsia" w:hAnsiTheme="minorEastAsia" w:eastAsiaTheme="minorEastAsia"/>
                <w:b/>
                <w:sz w:val="21"/>
                <w:szCs w:val="21"/>
                <w:lang w:eastAsia="zh-CN"/>
              </w:rPr>
              <w:t>形式</w:t>
            </w:r>
          </w:p>
        </w:tc>
        <w:tc>
          <w:tcPr>
            <w:tcW w:w="5538" w:type="dxa"/>
            <w:gridSpan w:val="6"/>
            <w:vAlign w:val="center"/>
          </w:tcPr>
          <w:p>
            <w:pPr>
              <w:snapToGrid w:val="0"/>
              <w:spacing w:after="0" w:line="0" w:lineRule="atLeast"/>
              <w:ind w:left="18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评价标准</w:t>
            </w:r>
          </w:p>
        </w:tc>
        <w:tc>
          <w:tcPr>
            <w:tcW w:w="1528" w:type="dxa"/>
            <w:gridSpan w:val="2"/>
            <w:vAlign w:val="center"/>
          </w:tcPr>
          <w:p>
            <w:pPr>
              <w:snapToGrid w:val="0"/>
              <w:spacing w:after="0" w:line="0" w:lineRule="atLeast"/>
              <w:ind w:left="18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2335" w:type="dxa"/>
            <w:gridSpan w:val="2"/>
            <w:vAlign w:val="top"/>
          </w:tcPr>
          <w:p>
            <w:pPr>
              <w:spacing w:after="0" w:line="360" w:lineRule="exact"/>
              <w:rPr>
                <w:rFonts w:hint="eastAsia" w:asciiTheme="minorEastAsia" w:hAnsiTheme="minorEastAsia" w:eastAsiaTheme="minorEastAsia"/>
                <w:sz w:val="21"/>
                <w:szCs w:val="21"/>
                <w:lang w:eastAsia="zh-CN"/>
              </w:rPr>
            </w:pPr>
            <w:r>
              <w:rPr>
                <w:rFonts w:eastAsia="宋体"/>
                <w:sz w:val="21"/>
                <w:szCs w:val="21"/>
              </w:rPr>
              <w:t>到堂情况</w:t>
            </w:r>
          </w:p>
        </w:tc>
        <w:tc>
          <w:tcPr>
            <w:tcW w:w="5538" w:type="dxa"/>
            <w:gridSpan w:val="6"/>
            <w:vAlign w:val="top"/>
          </w:tcPr>
          <w:p>
            <w:pPr>
              <w:spacing w:after="0" w:line="360" w:lineRule="exact"/>
              <w:jc w:val="left"/>
              <w:rPr>
                <w:rFonts w:hint="eastAsia" w:asciiTheme="minorEastAsia" w:hAnsiTheme="minorEastAsia" w:eastAsiaTheme="minorEastAsia"/>
                <w:sz w:val="21"/>
                <w:szCs w:val="21"/>
                <w:lang w:eastAsia="zh-CN"/>
              </w:rPr>
            </w:pPr>
            <w:r>
              <w:rPr>
                <w:rFonts w:eastAsia="宋体"/>
                <w:sz w:val="21"/>
                <w:szCs w:val="21"/>
                <w:lang w:eastAsia="zh-CN"/>
              </w:rPr>
              <w:t>不得无故缺席，上课勤做笔记，积极回答问题</w:t>
            </w:r>
          </w:p>
        </w:tc>
        <w:tc>
          <w:tcPr>
            <w:tcW w:w="1528" w:type="dxa"/>
            <w:gridSpan w:val="2"/>
            <w:vAlign w:val="top"/>
          </w:tcPr>
          <w:p>
            <w:pPr>
              <w:spacing w:after="0" w:line="360" w:lineRule="exact"/>
              <w:jc w:val="left"/>
              <w:rPr>
                <w:rFonts w:hint="eastAsia" w:asciiTheme="minorEastAsia" w:hAnsiTheme="minorEastAsia" w:eastAsiaTheme="minorEastAsia"/>
                <w:szCs w:val="21"/>
                <w:lang w:eastAsia="zh-CN"/>
              </w:rPr>
            </w:pPr>
            <w:r>
              <w:rPr>
                <w:rFonts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2335" w:type="dxa"/>
            <w:gridSpan w:val="2"/>
            <w:vAlign w:val="top"/>
          </w:tcPr>
          <w:p>
            <w:pPr>
              <w:spacing w:after="0" w:line="360" w:lineRule="exact"/>
              <w:rPr>
                <w:rFonts w:asciiTheme="minorEastAsia" w:hAnsiTheme="minorEastAsia" w:eastAsiaTheme="minorEastAsia"/>
                <w:sz w:val="21"/>
                <w:szCs w:val="21"/>
                <w:lang w:eastAsia="zh-CN"/>
              </w:rPr>
            </w:pPr>
            <w:r>
              <w:rPr>
                <w:rFonts w:eastAsia="宋体"/>
                <w:sz w:val="21"/>
                <w:szCs w:val="21"/>
              </w:rPr>
              <w:t>课堂讨论</w:t>
            </w:r>
          </w:p>
        </w:tc>
        <w:tc>
          <w:tcPr>
            <w:tcW w:w="5538" w:type="dxa"/>
            <w:gridSpan w:val="6"/>
            <w:vAlign w:val="top"/>
          </w:tcPr>
          <w:p>
            <w:pPr>
              <w:spacing w:after="0" w:line="360" w:lineRule="exact"/>
              <w:jc w:val="left"/>
              <w:rPr>
                <w:rFonts w:asciiTheme="minorEastAsia" w:hAnsiTheme="minorEastAsia" w:eastAsiaTheme="minorEastAsia"/>
                <w:sz w:val="21"/>
                <w:szCs w:val="21"/>
                <w:lang w:eastAsia="zh-CN"/>
              </w:rPr>
            </w:pPr>
            <w:r>
              <w:rPr>
                <w:rFonts w:eastAsia="宋体"/>
                <w:sz w:val="21"/>
                <w:szCs w:val="21"/>
                <w:lang w:eastAsia="zh-CN"/>
              </w:rPr>
              <w:t>认真准备，积极参与讨论</w:t>
            </w:r>
          </w:p>
        </w:tc>
        <w:tc>
          <w:tcPr>
            <w:tcW w:w="1528" w:type="dxa"/>
            <w:gridSpan w:val="2"/>
            <w:vAlign w:val="top"/>
          </w:tcPr>
          <w:p>
            <w:pPr>
              <w:spacing w:after="0" w:line="360" w:lineRule="exact"/>
              <w:jc w:val="left"/>
              <w:rPr>
                <w:rFonts w:asciiTheme="minorEastAsia" w:hAnsiTheme="minorEastAsia" w:eastAsiaTheme="minorEastAsia"/>
                <w:szCs w:val="21"/>
              </w:rPr>
            </w:pPr>
            <w:r>
              <w:rPr>
                <w:rFonts w:hint="eastAsia" w:eastAsia="宋体"/>
                <w:sz w:val="21"/>
                <w:szCs w:val="21"/>
                <w:lang w:val="en-US" w:eastAsia="zh-CN"/>
              </w:rPr>
              <w:t>2</w:t>
            </w:r>
            <w:r>
              <w:rPr>
                <w:rFonts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jc w:val="center"/>
        </w:trPr>
        <w:tc>
          <w:tcPr>
            <w:tcW w:w="2335" w:type="dxa"/>
            <w:gridSpan w:val="2"/>
            <w:vAlign w:val="top"/>
          </w:tcPr>
          <w:p>
            <w:pPr>
              <w:spacing w:after="0" w:line="360" w:lineRule="exact"/>
              <w:rPr>
                <w:rFonts w:asciiTheme="minorEastAsia" w:hAnsiTheme="minorEastAsia" w:eastAsiaTheme="minorEastAsia"/>
                <w:sz w:val="21"/>
                <w:szCs w:val="21"/>
                <w:lang w:eastAsia="zh-CN"/>
              </w:rPr>
            </w:pPr>
            <w:r>
              <w:rPr>
                <w:rFonts w:eastAsia="宋体"/>
                <w:sz w:val="21"/>
                <w:szCs w:val="21"/>
              </w:rPr>
              <w:t>期末考核</w:t>
            </w:r>
          </w:p>
        </w:tc>
        <w:tc>
          <w:tcPr>
            <w:tcW w:w="5538" w:type="dxa"/>
            <w:gridSpan w:val="6"/>
            <w:vAlign w:val="top"/>
          </w:tcPr>
          <w:p>
            <w:pPr>
              <w:spacing w:after="0" w:line="360" w:lineRule="exact"/>
              <w:jc w:val="left"/>
              <w:rPr>
                <w:rFonts w:eastAsia="宋体"/>
                <w:sz w:val="21"/>
                <w:szCs w:val="21"/>
                <w:lang w:eastAsia="zh-CN"/>
              </w:rPr>
            </w:pPr>
            <w:r>
              <w:rPr>
                <w:rFonts w:eastAsia="宋体"/>
                <w:sz w:val="21"/>
                <w:szCs w:val="21"/>
                <w:lang w:eastAsia="zh-CN"/>
              </w:rPr>
              <w:t>1. 评价标准：</w:t>
            </w:r>
            <w:r>
              <w:rPr>
                <w:rFonts w:hint="eastAsia" w:eastAsia="宋体"/>
                <w:sz w:val="21"/>
                <w:szCs w:val="21"/>
                <w:lang w:eastAsia="zh-CN"/>
              </w:rPr>
              <w:t>公关策划书可行性强</w:t>
            </w:r>
            <w:r>
              <w:rPr>
                <w:rFonts w:eastAsia="宋体"/>
                <w:sz w:val="21"/>
                <w:szCs w:val="21"/>
                <w:lang w:eastAsia="zh-CN"/>
              </w:rPr>
              <w:t>。</w:t>
            </w:r>
          </w:p>
          <w:p>
            <w:pPr>
              <w:spacing w:after="0" w:line="360" w:lineRule="exact"/>
              <w:jc w:val="left"/>
              <w:rPr>
                <w:rFonts w:asciiTheme="minorEastAsia" w:hAnsiTheme="minorEastAsia" w:eastAsiaTheme="minorEastAsia"/>
                <w:sz w:val="21"/>
                <w:szCs w:val="21"/>
                <w:lang w:eastAsia="zh-CN"/>
              </w:rPr>
            </w:pPr>
            <w:r>
              <w:rPr>
                <w:rFonts w:eastAsia="宋体"/>
                <w:sz w:val="21"/>
                <w:szCs w:val="21"/>
                <w:lang w:eastAsia="zh-CN"/>
              </w:rPr>
              <w:t>2. 要求：能灵活运用所学</w:t>
            </w:r>
            <w:r>
              <w:rPr>
                <w:rFonts w:hint="eastAsia" w:eastAsia="宋体"/>
                <w:sz w:val="21"/>
                <w:szCs w:val="21"/>
                <w:lang w:eastAsia="zh-CN"/>
              </w:rPr>
              <w:t>的公共关系知识完成可信性较强的公共策划书</w:t>
            </w:r>
            <w:r>
              <w:rPr>
                <w:rFonts w:eastAsia="宋体"/>
                <w:sz w:val="21"/>
                <w:szCs w:val="21"/>
                <w:lang w:eastAsia="zh-CN"/>
              </w:rPr>
              <w:t>。</w:t>
            </w:r>
          </w:p>
        </w:tc>
        <w:tc>
          <w:tcPr>
            <w:tcW w:w="1528" w:type="dxa"/>
            <w:gridSpan w:val="2"/>
            <w:vAlign w:val="top"/>
          </w:tcPr>
          <w:p>
            <w:pPr>
              <w:spacing w:after="0" w:line="360" w:lineRule="exact"/>
              <w:jc w:val="left"/>
              <w:rPr>
                <w:rFonts w:asciiTheme="minorEastAsia" w:hAnsiTheme="minorEastAsia" w:eastAsiaTheme="minorEastAsia"/>
                <w:szCs w:val="21"/>
              </w:rPr>
            </w:pPr>
            <w:r>
              <w:rPr>
                <w:rFonts w:hint="eastAsia" w:eastAsia="宋体"/>
                <w:sz w:val="21"/>
                <w:szCs w:val="21"/>
                <w:lang w:val="en-US" w:eastAsia="zh-CN"/>
              </w:rPr>
              <w:t>7</w:t>
            </w:r>
            <w:r>
              <w:rPr>
                <w:rFonts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9401" w:type="dxa"/>
            <w:gridSpan w:val="10"/>
            <w:vAlign w:val="center"/>
          </w:tcPr>
          <w:p>
            <w:pPr>
              <w:snapToGrid w:val="0"/>
              <w:spacing w:after="0" w:line="0" w:lineRule="atLeast"/>
              <w:rPr>
                <w:rFonts w:asciiTheme="minorEastAsia" w:hAnsiTheme="minorEastAsia" w:eastAsiaTheme="minorEastAsia"/>
                <w:b/>
                <w:sz w:val="21"/>
                <w:szCs w:val="21"/>
              </w:rPr>
            </w:pPr>
            <w:r>
              <w:rPr>
                <w:rFonts w:hint="eastAsia" w:asciiTheme="minorEastAsia" w:hAnsiTheme="minorEastAsia" w:eastAsiaTheme="minorEastAsia"/>
                <w:b/>
                <w:sz w:val="21"/>
                <w:szCs w:val="21"/>
                <w:lang w:eastAsia="zh-CN"/>
              </w:rPr>
              <w:t>大纲编写时间：201</w:t>
            </w:r>
            <w:r>
              <w:rPr>
                <w:rFonts w:hint="eastAsia" w:asciiTheme="minorEastAsia" w:hAnsiTheme="minorEastAsia" w:eastAsiaTheme="minorEastAsia"/>
                <w:b/>
                <w:sz w:val="21"/>
                <w:szCs w:val="21"/>
                <w:lang w:val="en-US" w:eastAsia="zh-CN"/>
              </w:rPr>
              <w:t>8</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3</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Theme="minorEastAsia" w:hAnsiTheme="minorEastAsia" w:eastAsiaTheme="minorEastAsia"/>
                <w:b/>
                <w:szCs w:val="21"/>
                <w:lang w:eastAsia="zh-CN"/>
              </w:rPr>
            </w:pPr>
            <w:r>
              <w:rPr>
                <w:rFonts w:hint="eastAsia" w:asciiTheme="minorEastAsia" w:hAnsiTheme="minorEastAsia" w:eastAsiaTheme="minorEastAsia"/>
                <w:b/>
                <w:szCs w:val="21"/>
                <w:lang w:eastAsia="zh-CN"/>
              </w:rPr>
              <w:t>系（部）审查意见：</w:t>
            </w:r>
          </w:p>
          <w:p>
            <w:pPr>
              <w:spacing w:after="0" w:line="0" w:lineRule="atLeast"/>
              <w:ind w:firstLine="57" w:firstLineChars="27"/>
              <w:jc w:val="left"/>
              <w:rPr>
                <w:rFonts w:asciiTheme="minorEastAsia" w:hAnsiTheme="minorEastAsia" w:eastAsiaTheme="minorEastAsia"/>
                <w:b/>
                <w:sz w:val="21"/>
                <w:szCs w:val="21"/>
                <w:lang w:eastAsia="zh-CN"/>
              </w:rPr>
            </w:pPr>
          </w:p>
          <w:p>
            <w:pPr>
              <w:spacing w:after="0" w:line="0" w:lineRule="atLeast"/>
              <w:ind w:firstLine="57" w:firstLineChars="27"/>
              <w:jc w:val="left"/>
              <w:rPr>
                <w:rFonts w:asciiTheme="minorEastAsia" w:hAnsiTheme="minorEastAsia" w:eastAsiaTheme="minorEastAsia"/>
                <w:b/>
                <w:sz w:val="21"/>
                <w:szCs w:val="21"/>
                <w:lang w:eastAsia="zh-CN"/>
              </w:rPr>
            </w:pPr>
          </w:p>
          <w:p>
            <w:pPr>
              <w:spacing w:after="0" w:line="0" w:lineRule="atLeast"/>
              <w:rPr>
                <w:rFonts w:asciiTheme="minorEastAsia" w:hAnsiTheme="minorEastAsia" w:eastAsiaTheme="minorEastAsia"/>
                <w:sz w:val="21"/>
                <w:szCs w:val="21"/>
                <w:lang w:eastAsia="zh-CN"/>
              </w:rPr>
            </w:pPr>
          </w:p>
          <w:p>
            <w:pPr>
              <w:spacing w:after="0" w:line="0" w:lineRule="atLeast"/>
              <w:ind w:right="420"/>
              <w:rPr>
                <w:rFonts w:asciiTheme="minorEastAsia" w:hAnsiTheme="minorEastAsia" w:eastAsiaTheme="minorEastAsia"/>
                <w:sz w:val="21"/>
                <w:szCs w:val="21"/>
                <w:lang w:eastAsia="zh-CN"/>
              </w:rPr>
            </w:pPr>
          </w:p>
          <w:p>
            <w:pPr>
              <w:spacing w:after="0" w:line="0" w:lineRule="atLeast"/>
              <w:ind w:right="420"/>
              <w:jc w:val="righ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系（部）主任签名：                         日期：      年    月    日</w:t>
            </w:r>
          </w:p>
          <w:p>
            <w:pPr>
              <w:snapToGrid w:val="0"/>
              <w:spacing w:after="0" w:line="0" w:lineRule="atLeast"/>
              <w:ind w:left="180"/>
              <w:rPr>
                <w:rFonts w:asciiTheme="minorEastAsia" w:hAnsiTheme="minorEastAsia" w:eastAsiaTheme="minorEastAsia"/>
                <w:sz w:val="21"/>
                <w:szCs w:val="21"/>
                <w:lang w:eastAsia="zh-CN"/>
              </w:rPr>
            </w:pPr>
          </w:p>
        </w:tc>
      </w:tr>
    </w:tbl>
    <w:p>
      <w:pPr>
        <w:spacing w:line="360" w:lineRule="exact"/>
        <w:rPr>
          <w:rFonts w:asciiTheme="minorEastAsia" w:hAnsiTheme="minorEastAsia" w:eastAsiaTheme="minorEastAsia"/>
          <w:b/>
          <w:sz w:val="21"/>
          <w:szCs w:val="21"/>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altName w:val="Arial Unicode MS"/>
    <w:panose1 w:val="00000000000000000000"/>
    <w:charset w:val="88"/>
    <w:family w:val="script"/>
    <w:pitch w:val="default"/>
    <w:sig w:usb0="00000000" w:usb1="0000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20AAD"/>
    <w:rsid w:val="00061F27"/>
    <w:rsid w:val="000625CC"/>
    <w:rsid w:val="0006698D"/>
    <w:rsid w:val="000871C7"/>
    <w:rsid w:val="00087B74"/>
    <w:rsid w:val="000B626E"/>
    <w:rsid w:val="000C2D4A"/>
    <w:rsid w:val="000D1283"/>
    <w:rsid w:val="000E0AE8"/>
    <w:rsid w:val="000F7B84"/>
    <w:rsid w:val="00122726"/>
    <w:rsid w:val="0013071B"/>
    <w:rsid w:val="00136205"/>
    <w:rsid w:val="00150BEF"/>
    <w:rsid w:val="00155E5A"/>
    <w:rsid w:val="00171228"/>
    <w:rsid w:val="0018136C"/>
    <w:rsid w:val="001B31E9"/>
    <w:rsid w:val="001C5B3F"/>
    <w:rsid w:val="001D28E8"/>
    <w:rsid w:val="001E58B2"/>
    <w:rsid w:val="001F20BC"/>
    <w:rsid w:val="001F3B6A"/>
    <w:rsid w:val="002111AE"/>
    <w:rsid w:val="00227119"/>
    <w:rsid w:val="0026746C"/>
    <w:rsid w:val="002A035C"/>
    <w:rsid w:val="002E27E1"/>
    <w:rsid w:val="002E5B0C"/>
    <w:rsid w:val="002E6EFD"/>
    <w:rsid w:val="002F2CDB"/>
    <w:rsid w:val="003044FA"/>
    <w:rsid w:val="0035081C"/>
    <w:rsid w:val="00360BD3"/>
    <w:rsid w:val="0037561C"/>
    <w:rsid w:val="003A0EA2"/>
    <w:rsid w:val="003C66D8"/>
    <w:rsid w:val="003E66A6"/>
    <w:rsid w:val="003F13B9"/>
    <w:rsid w:val="00414FC8"/>
    <w:rsid w:val="00421345"/>
    <w:rsid w:val="00457E42"/>
    <w:rsid w:val="004B3994"/>
    <w:rsid w:val="004D29DE"/>
    <w:rsid w:val="004E0481"/>
    <w:rsid w:val="004E7804"/>
    <w:rsid w:val="004F08AC"/>
    <w:rsid w:val="00500712"/>
    <w:rsid w:val="005639AB"/>
    <w:rsid w:val="0058093A"/>
    <w:rsid w:val="005911D3"/>
    <w:rsid w:val="005A0400"/>
    <w:rsid w:val="005C0D4E"/>
    <w:rsid w:val="005F174F"/>
    <w:rsid w:val="0063410F"/>
    <w:rsid w:val="00646F76"/>
    <w:rsid w:val="00653579"/>
    <w:rsid w:val="0065651C"/>
    <w:rsid w:val="00665104"/>
    <w:rsid w:val="006A2467"/>
    <w:rsid w:val="00717BF1"/>
    <w:rsid w:val="00735FDE"/>
    <w:rsid w:val="00770F0D"/>
    <w:rsid w:val="00776841"/>
    <w:rsid w:val="00776AF2"/>
    <w:rsid w:val="00785779"/>
    <w:rsid w:val="007902E1"/>
    <w:rsid w:val="007A154B"/>
    <w:rsid w:val="007A4144"/>
    <w:rsid w:val="007D2925"/>
    <w:rsid w:val="008147FF"/>
    <w:rsid w:val="00815F78"/>
    <w:rsid w:val="00817EA2"/>
    <w:rsid w:val="00831CA1"/>
    <w:rsid w:val="008512DF"/>
    <w:rsid w:val="00855020"/>
    <w:rsid w:val="00885EED"/>
    <w:rsid w:val="00892ADC"/>
    <w:rsid w:val="00896971"/>
    <w:rsid w:val="008A50B1"/>
    <w:rsid w:val="008D2CDA"/>
    <w:rsid w:val="008F6642"/>
    <w:rsid w:val="008F7E40"/>
    <w:rsid w:val="00907DD6"/>
    <w:rsid w:val="0091406B"/>
    <w:rsid w:val="00917C66"/>
    <w:rsid w:val="009349EE"/>
    <w:rsid w:val="009A2B5C"/>
    <w:rsid w:val="009B3EAE"/>
    <w:rsid w:val="009B4CB4"/>
    <w:rsid w:val="009C3354"/>
    <w:rsid w:val="009D3079"/>
    <w:rsid w:val="009D3649"/>
    <w:rsid w:val="00A41467"/>
    <w:rsid w:val="00A753CC"/>
    <w:rsid w:val="00A84D68"/>
    <w:rsid w:val="00A85774"/>
    <w:rsid w:val="00AA199F"/>
    <w:rsid w:val="00AB00C2"/>
    <w:rsid w:val="00AD6D79"/>
    <w:rsid w:val="00AE48DD"/>
    <w:rsid w:val="00B066DA"/>
    <w:rsid w:val="00B41AEE"/>
    <w:rsid w:val="00B76F21"/>
    <w:rsid w:val="00B8377B"/>
    <w:rsid w:val="00BB35F5"/>
    <w:rsid w:val="00BE6CA1"/>
    <w:rsid w:val="00C41D05"/>
    <w:rsid w:val="00C705DD"/>
    <w:rsid w:val="00C76FA2"/>
    <w:rsid w:val="00C86BAB"/>
    <w:rsid w:val="00CA1AB8"/>
    <w:rsid w:val="00CC4A46"/>
    <w:rsid w:val="00CD2F8F"/>
    <w:rsid w:val="00CF3718"/>
    <w:rsid w:val="00D23707"/>
    <w:rsid w:val="00D45246"/>
    <w:rsid w:val="00D602DE"/>
    <w:rsid w:val="00D62B41"/>
    <w:rsid w:val="00D85BDB"/>
    <w:rsid w:val="00D86C14"/>
    <w:rsid w:val="00D94B76"/>
    <w:rsid w:val="00DA23F2"/>
    <w:rsid w:val="00DA6ED5"/>
    <w:rsid w:val="00DB337D"/>
    <w:rsid w:val="00DB45CF"/>
    <w:rsid w:val="00DB5724"/>
    <w:rsid w:val="00DE7ACC"/>
    <w:rsid w:val="00DF5C03"/>
    <w:rsid w:val="00DF79E9"/>
    <w:rsid w:val="00E0505F"/>
    <w:rsid w:val="00E22FAC"/>
    <w:rsid w:val="00E413E8"/>
    <w:rsid w:val="00E53E23"/>
    <w:rsid w:val="00E91BB8"/>
    <w:rsid w:val="00EA4DA3"/>
    <w:rsid w:val="00EB2DA0"/>
    <w:rsid w:val="00EC2295"/>
    <w:rsid w:val="00ED3FCA"/>
    <w:rsid w:val="00F31667"/>
    <w:rsid w:val="00F617C2"/>
    <w:rsid w:val="00F754C1"/>
    <w:rsid w:val="00F92EB6"/>
    <w:rsid w:val="00F96D96"/>
    <w:rsid w:val="00FC51CC"/>
    <w:rsid w:val="00FE22C8"/>
    <w:rsid w:val="0AAC5972"/>
    <w:rsid w:val="0F1420CC"/>
    <w:rsid w:val="11406759"/>
    <w:rsid w:val="12A75F93"/>
    <w:rsid w:val="1BB8736F"/>
    <w:rsid w:val="1E0A7720"/>
    <w:rsid w:val="26741186"/>
    <w:rsid w:val="28AD1D92"/>
    <w:rsid w:val="2C23799B"/>
    <w:rsid w:val="2F880BE5"/>
    <w:rsid w:val="32FC5B42"/>
    <w:rsid w:val="336B6A1A"/>
    <w:rsid w:val="36B25805"/>
    <w:rsid w:val="37747F11"/>
    <w:rsid w:val="4062583E"/>
    <w:rsid w:val="4B3D64BC"/>
    <w:rsid w:val="4F7011E4"/>
    <w:rsid w:val="53523CB6"/>
    <w:rsid w:val="5A616652"/>
    <w:rsid w:val="61A63CD5"/>
    <w:rsid w:val="625C002B"/>
    <w:rsid w:val="62602DFF"/>
    <w:rsid w:val="62AE51F7"/>
    <w:rsid w:val="64AF2222"/>
    <w:rsid w:val="679F46C4"/>
    <w:rsid w:val="6F6C6B66"/>
    <w:rsid w:val="6FE83C60"/>
    <w:rsid w:val="724B2D0D"/>
    <w:rsid w:val="75D33682"/>
    <w:rsid w:val="77513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6"/>
    <w:qFormat/>
    <w:uiPriority w:val="0"/>
    <w:pPr>
      <w:widowControl w:val="0"/>
      <w:spacing w:after="0"/>
      <w:ind w:left="72" w:firstLine="346" w:firstLineChars="165"/>
    </w:pPr>
    <w:rPr>
      <w:rFonts w:ascii="宋体" w:hAnsi="宋体" w:eastAsia="宋体"/>
      <w:kern w:val="2"/>
      <w:sz w:val="21"/>
      <w:szCs w:val="24"/>
      <w:lang w:eastAsia="zh-CN"/>
    </w:rPr>
  </w:style>
  <w:style w:type="paragraph" w:styleId="3">
    <w:name w:val="Balloon Text"/>
    <w:basedOn w:val="1"/>
    <w:link w:val="15"/>
    <w:qFormat/>
    <w:uiPriority w:val="0"/>
    <w:pPr>
      <w:spacing w:after="0"/>
    </w:pPr>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jc w:val="left"/>
    </w:pPr>
    <w:rPr>
      <w:rFonts w:ascii="宋体" w:hAnsi="宋体" w:eastAsia="宋体" w:cs="宋体"/>
      <w:color w:val="000000"/>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qFormat/>
    <w:uiPriority w:val="0"/>
    <w:rPr>
      <w:rFonts w:ascii="CIDFont + F2" w:hAnsi="CIDFont + F2" w:eastAsia="CIDFont + F2" w:cs="CIDFont + F2"/>
      <w:color w:val="000000"/>
      <w:sz w:val="20"/>
      <w:szCs w:val="20"/>
    </w:rPr>
  </w:style>
  <w:style w:type="character" w:customStyle="1" w:styleId="12">
    <w:name w:val="页眉 Char"/>
    <w:basedOn w:val="7"/>
    <w:link w:val="5"/>
    <w:qFormat/>
    <w:uiPriority w:val="0"/>
    <w:rPr>
      <w:rFonts w:eastAsia="PMingLiU"/>
      <w:sz w:val="18"/>
      <w:szCs w:val="18"/>
      <w:lang w:eastAsia="en-US"/>
    </w:rPr>
  </w:style>
  <w:style w:type="character" w:customStyle="1" w:styleId="13">
    <w:name w:val="页脚 Char"/>
    <w:basedOn w:val="7"/>
    <w:link w:val="4"/>
    <w:uiPriority w:val="0"/>
    <w:rPr>
      <w:rFonts w:eastAsia="PMingLiU"/>
      <w:sz w:val="18"/>
      <w:szCs w:val="18"/>
      <w:lang w:eastAsia="en-US"/>
    </w:rPr>
  </w:style>
  <w:style w:type="paragraph" w:styleId="14">
    <w:name w:val="List Paragraph"/>
    <w:basedOn w:val="1"/>
    <w:unhideWhenUsed/>
    <w:qFormat/>
    <w:uiPriority w:val="34"/>
    <w:pPr>
      <w:ind w:firstLine="420" w:firstLineChars="200"/>
    </w:pPr>
  </w:style>
  <w:style w:type="character" w:customStyle="1" w:styleId="15">
    <w:name w:val="批注框文本 Char"/>
    <w:basedOn w:val="7"/>
    <w:link w:val="3"/>
    <w:qFormat/>
    <w:uiPriority w:val="0"/>
    <w:rPr>
      <w:rFonts w:eastAsia="PMingLiU"/>
      <w:sz w:val="18"/>
      <w:szCs w:val="18"/>
      <w:lang w:eastAsia="en-US"/>
    </w:rPr>
  </w:style>
  <w:style w:type="character" w:customStyle="1" w:styleId="16">
    <w:name w:val="正文文本缩进 Char"/>
    <w:basedOn w:val="7"/>
    <w:link w:val="2"/>
    <w:uiPriority w:val="0"/>
    <w:rPr>
      <w:rFonts w:ascii="宋体" w:hAnsi="宋体"/>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6927E5-BD21-4B7B-8252-66CB257AC7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2115</Words>
  <Characters>470</Characters>
  <Lines>3</Lines>
  <Paragraphs>5</Paragraphs>
  <ScaleCrop>false</ScaleCrop>
  <LinksUpToDate>false</LinksUpToDate>
  <CharactersWithSpaces>2580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2017-09-19T13:29:00Z</dcterms:created>
  <dc:creator>lenovo</dc:creator>
  <cp:lastModifiedBy>Administrator</cp:lastModifiedBy>
  <cp:lastPrinted>2017-01-05T16:24:00Z</cp:lastPrinted>
  <dcterms:modified xsi:type="dcterms:W3CDTF">2018-03-07T08:52:10Z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